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0" w:rsidRDefault="00894210" w:rsidP="00894210">
      <w:pPr>
        <w:widowControl/>
        <w:pBdr>
          <w:bottom w:val="single" w:sz="6" w:space="17" w:color="EDECEC"/>
        </w:pBdr>
        <w:shd w:val="clear" w:color="auto" w:fill="FFFFFF"/>
        <w:spacing w:before="225" w:after="225"/>
        <w:jc w:val="center"/>
        <w:outlineLvl w:val="2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E40248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參加調解應注意事項</w:t>
      </w:r>
    </w:p>
    <w:p w:rsidR="00894210" w:rsidRPr="00E40248" w:rsidRDefault="00894210" w:rsidP="00894210">
      <w:pPr>
        <w:widowControl/>
        <w:pBdr>
          <w:bottom w:val="single" w:sz="6" w:space="17" w:color="EDECEC"/>
        </w:pBdr>
        <w:shd w:val="clear" w:color="auto" w:fill="FFFFFF"/>
        <w:spacing w:before="225" w:after="225"/>
        <w:outlineLvl w:val="2"/>
        <w:rPr>
          <w:rFonts w:ascii="Arial" w:eastAsia="新細明體" w:hAnsi="Arial" w:cs="Arial"/>
          <w:color w:val="444444"/>
          <w:spacing w:val="15"/>
          <w:kern w:val="0"/>
          <w:sz w:val="20"/>
          <w:szCs w:val="20"/>
        </w:rPr>
      </w:pPr>
      <w:r w:rsidRPr="00E40248">
        <w:rPr>
          <w:rFonts w:ascii="新細明體" w:eastAsia="新細明體" w:hAnsi="新細明體" w:cs="新細明體"/>
          <w:b/>
          <w:bCs/>
          <w:color w:val="777777"/>
          <w:kern w:val="0"/>
          <w:sz w:val="22"/>
        </w:rPr>
        <w:t>發布單位：</w:t>
      </w:r>
      <w:proofErr w:type="gramStart"/>
      <w:r w:rsidRPr="00E40248">
        <w:rPr>
          <w:rFonts w:ascii="新細明體" w:eastAsia="新細明體" w:hAnsi="新細明體" w:cs="新細明體"/>
          <w:b/>
          <w:bCs/>
          <w:color w:val="333333"/>
          <w:kern w:val="0"/>
          <w:sz w:val="22"/>
          <w:bdr w:val="none" w:sz="0" w:space="0" w:color="auto" w:frame="1"/>
        </w:rPr>
        <w:t>臺</w:t>
      </w:r>
      <w:proofErr w:type="gramEnd"/>
      <w:r w:rsidRPr="00E40248">
        <w:rPr>
          <w:rFonts w:ascii="新細明體" w:eastAsia="新細明體" w:hAnsi="新細明體" w:cs="新細明體"/>
          <w:b/>
          <w:bCs/>
          <w:color w:val="333333"/>
          <w:kern w:val="0"/>
          <w:sz w:val="22"/>
          <w:bdr w:val="none" w:sz="0" w:space="0" w:color="auto" w:frame="1"/>
        </w:rPr>
        <w:t>中市政府法制局</w:t>
      </w:r>
      <w:r>
        <w:rPr>
          <w:rFonts w:ascii="新細明體" w:eastAsia="新細明體" w:hAnsi="新細明體" w:cs="新細明體" w:hint="eastAsia"/>
          <w:b/>
          <w:bCs/>
          <w:color w:val="333333"/>
          <w:kern w:val="0"/>
          <w:sz w:val="22"/>
          <w:bdr w:val="none" w:sz="0" w:space="0" w:color="auto" w:frame="1"/>
        </w:rPr>
        <w:t>、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333333"/>
          <w:kern w:val="0"/>
          <w:sz w:val="22"/>
          <w:bdr w:val="none" w:sz="0" w:space="0" w:color="auto" w:frame="1"/>
        </w:rPr>
        <w:t>臺</w:t>
      </w:r>
      <w:proofErr w:type="gramEnd"/>
      <w:r>
        <w:rPr>
          <w:rFonts w:ascii="新細明體" w:eastAsia="新細明體" w:hAnsi="新細明體" w:cs="新細明體" w:hint="eastAsia"/>
          <w:b/>
          <w:bCs/>
          <w:color w:val="333333"/>
          <w:kern w:val="0"/>
          <w:sz w:val="22"/>
          <w:bdr w:val="none" w:sz="0" w:space="0" w:color="auto" w:frame="1"/>
        </w:rPr>
        <w:t>中市大里區公所</w:t>
      </w:r>
      <w:bookmarkStart w:id="0" w:name="_GoBack"/>
      <w:bookmarkEnd w:id="0"/>
      <w:r w:rsidRPr="00E40248">
        <w:rPr>
          <w:rFonts w:ascii="Arial" w:eastAsia="新細明體" w:hAnsi="Arial" w:cs="Arial"/>
          <w:noProof/>
          <w:color w:val="444444"/>
          <w:spacing w:val="15"/>
          <w:kern w:val="0"/>
          <w:sz w:val="20"/>
          <w:szCs w:val="20"/>
        </w:rPr>
        <w:drawing>
          <wp:inline distT="0" distB="0" distL="0" distR="0" wp14:anchorId="73BC4AAE" wp14:editId="1989F50B">
            <wp:extent cx="6134100" cy="685800"/>
            <wp:effectExtent l="0" t="0" r="0" b="0"/>
            <wp:docPr id="2" name="圖片 2" descr="調解行政(參加調解應注意事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調解行政(參加調解應注意事項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8" w:type="dxa"/>
        <w:shd w:val="clear" w:color="auto" w:fill="6781C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9095"/>
      </w:tblGrid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proofErr w:type="gramStart"/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參加調解者，當事人應於調解期日親自或委任代理人攜帶區調解委員會通知單、身分證、印章及與調解相關之文件準時報到。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二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參加調解者報到時，應依先到先辦順序辦理報到，不得</w:t>
            </w:r>
            <w:proofErr w:type="gramStart"/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喧</w:t>
            </w:r>
            <w:proofErr w:type="gramEnd"/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吵爭先恐後。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三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非案件當事人、利害關係人或偕同調解人員不得擅自進入調解會場；但經當事人、利害關係人委任出席並攜有委任書狀者，不在此限。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四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調解案件利害關係人或偕同調解人員事前未報備參加調解者，得於調解當日於調解會報到處申請補辦入場手續參與調解。但參與偕同調解者，最多以三人為限。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五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在調解會場等候區等候調解之雙方人員，應保持安靜，不得有喧嘩爭吵之行為，並應靜候委員會工作人員唱名或依調解會場指示燈，</w:t>
            </w:r>
            <w:proofErr w:type="gramStart"/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依號次</w:t>
            </w:r>
            <w:proofErr w:type="gramEnd"/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導引進入指定之調解室等候進行調解；未經允許不得擅自進入調解室。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六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參加調解者進入調解室後，應保持肅靜並等候調解委員入場主持會議；調解程序未開始前，雙方參加調解者不得喧嘩。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七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調解會議由調解委員主席（集體調解）或委員（個別調解）主持並掌理會場秩序，所有參加調解者於會議進行中應遵守調解主席或主持委員之指揮，未經主持者之同意不得擅自發言或錄音、錄影；如有未聽指揮或不聽勸止，影響調解會議之進行者，經主席或主持委員裁決後，應立刻離開調解室。主席或主持委員並可視情形暫停調解進行或不予調解；必要時並得請警衛或轄區警察將違規者強制驅離會場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八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調解會進行中其案情如涉及個人隱私，當事人可提議經主席裁決准許後，請其他無關人員離開調解室後繼續調解，未離開前主席應暫停調解。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九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CCFB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調解會議進行中，參加調解者如有與本案無關需發言時，應由主席（集體調解）或委員（個別調解）同意後始可發言。</w:t>
            </w:r>
          </w:p>
        </w:tc>
      </w:tr>
      <w:tr w:rsidR="00894210" w:rsidRPr="00E40248" w:rsidTr="00C2624B">
        <w:tc>
          <w:tcPr>
            <w:tcW w:w="28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十</w:t>
            </w:r>
          </w:p>
        </w:tc>
        <w:tc>
          <w:tcPr>
            <w:tcW w:w="47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DDAFC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4210" w:rsidRPr="00E40248" w:rsidRDefault="00894210" w:rsidP="00C2624B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spacing w:val="15"/>
                <w:kern w:val="0"/>
                <w:szCs w:val="24"/>
              </w:rPr>
            </w:pPr>
            <w:r w:rsidRPr="00E40248">
              <w:rPr>
                <w:rFonts w:ascii="Arial" w:eastAsia="新細明體" w:hAnsi="Arial" w:cs="Arial"/>
                <w:spacing w:val="15"/>
                <w:kern w:val="0"/>
                <w:szCs w:val="24"/>
              </w:rPr>
              <w:t>調解委員於調解進行中具有公務人員之身分，參加調解者之當事人或非參加調解之民眾有故意違反本須知，而影響會議之進行，或有侮辱調解人員之情事，調解委員會得依刑法妨害公務等相關規定移送相關單位處理。</w:t>
            </w:r>
          </w:p>
        </w:tc>
      </w:tr>
    </w:tbl>
    <w:p w:rsidR="00C33765" w:rsidRPr="00894210" w:rsidRDefault="00C33765"/>
    <w:sectPr w:rsidR="00C33765" w:rsidRPr="00894210" w:rsidSect="000562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10"/>
    <w:rsid w:val="0005628C"/>
    <w:rsid w:val="00894210"/>
    <w:rsid w:val="00C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16F7-C4F8-4EB0-898E-6CEDB9E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TCCG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洪志朋</dc:creator>
  <cp:keywords/>
  <dc:description/>
  <cp:lastModifiedBy>洪志朋</cp:lastModifiedBy>
  <cp:revision>1</cp:revision>
  <dcterms:created xsi:type="dcterms:W3CDTF">2017-07-11T08:47:00Z</dcterms:created>
  <dcterms:modified xsi:type="dcterms:W3CDTF">2017-07-11T08:47:00Z</dcterms:modified>
</cp:coreProperties>
</file>