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2D2" w:rsidRPr="00940ACA" w:rsidRDefault="003932D2" w:rsidP="00940ACA">
      <w:pPr>
        <w:widowControl/>
        <w:pBdr>
          <w:bottom w:val="single" w:sz="6" w:space="15" w:color="EDECEC"/>
        </w:pBdr>
        <w:shd w:val="clear" w:color="auto" w:fill="FFFFFF"/>
        <w:adjustRightInd w:val="0"/>
        <w:snapToGrid w:val="0"/>
        <w:jc w:val="center"/>
        <w:outlineLvl w:val="2"/>
        <w:rPr>
          <w:rFonts w:ascii="微軟正黑體" w:eastAsia="微軟正黑體" w:hAnsi="微軟正黑體" w:cs="新細明體"/>
          <w:color w:val="555555"/>
          <w:kern w:val="0"/>
          <w:sz w:val="40"/>
          <w:szCs w:val="40"/>
        </w:rPr>
      </w:pPr>
      <w:r w:rsidRPr="00940ACA">
        <w:rPr>
          <w:rFonts w:ascii="微軟正黑體" w:eastAsia="微軟正黑體" w:hAnsi="微軟正黑體" w:cs="新細明體" w:hint="eastAsia"/>
          <w:color w:val="555555"/>
          <w:kern w:val="0"/>
          <w:sz w:val="40"/>
          <w:szCs w:val="40"/>
        </w:rPr>
        <w:t>調解委員會調解行政業務說明</w:t>
      </w:r>
    </w:p>
    <w:p w:rsidR="003932D2" w:rsidRPr="00940ACA" w:rsidRDefault="003932D2" w:rsidP="00940ACA">
      <w:pPr>
        <w:widowControl/>
        <w:shd w:val="clear" w:color="auto" w:fill="FFFFFF"/>
        <w:adjustRightInd w:val="0"/>
        <w:snapToGrid w:val="0"/>
        <w:rPr>
          <w:rFonts w:ascii="微軟正黑體" w:eastAsia="微軟正黑體" w:hAnsi="微軟正黑體" w:cs="新細明體"/>
          <w:b/>
          <w:color w:val="6C9F1F"/>
          <w:kern w:val="0"/>
          <w:sz w:val="28"/>
          <w:szCs w:val="28"/>
        </w:rPr>
      </w:pPr>
      <w:r w:rsidRPr="00940ACA">
        <w:rPr>
          <w:rFonts w:ascii="微軟正黑體" w:eastAsia="微軟正黑體" w:hAnsi="微軟正黑體" w:cs="新細明體" w:hint="eastAsia"/>
          <w:b/>
          <w:color w:val="6C9F1F"/>
          <w:kern w:val="0"/>
          <w:sz w:val="28"/>
          <w:szCs w:val="28"/>
        </w:rPr>
        <w:t>一．免費提供民眾聲請調解：</w:t>
      </w:r>
    </w:p>
    <w:p w:rsidR="003932D2" w:rsidRPr="00940ACA" w:rsidRDefault="003932D2" w:rsidP="00940ACA">
      <w:pPr>
        <w:widowControl/>
        <w:shd w:val="clear" w:color="auto" w:fill="F8F8F8"/>
        <w:adjustRightInd w:val="0"/>
        <w:snapToGrid w:val="0"/>
        <w:ind w:leftChars="235" w:left="564" w:firstLine="1"/>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本市於各區公所設有調解委員會，調解委員均由地方上具有法律或其他專業知識及信望素孚之公正人士擔任，免費為民眾調解糾紛案件。</w:t>
      </w:r>
    </w:p>
    <w:p w:rsidR="003932D2" w:rsidRPr="00940ACA" w:rsidRDefault="003932D2" w:rsidP="00940ACA">
      <w:pPr>
        <w:widowControl/>
        <w:shd w:val="clear" w:color="auto" w:fill="FFFFFF"/>
        <w:adjustRightInd w:val="0"/>
        <w:snapToGrid w:val="0"/>
        <w:rPr>
          <w:rFonts w:ascii="微軟正黑體" w:eastAsia="微軟正黑體" w:hAnsi="微軟正黑體" w:cs="新細明體"/>
          <w:b/>
          <w:color w:val="6C9F1F"/>
          <w:kern w:val="0"/>
          <w:sz w:val="28"/>
          <w:szCs w:val="28"/>
        </w:rPr>
      </w:pPr>
      <w:r w:rsidRPr="00940ACA">
        <w:rPr>
          <w:rFonts w:ascii="微軟正黑體" w:eastAsia="微軟正黑體" w:hAnsi="微軟正黑體" w:cs="新細明體" w:hint="eastAsia"/>
          <w:b/>
          <w:color w:val="6C9F1F"/>
          <w:kern w:val="0"/>
          <w:sz w:val="28"/>
          <w:szCs w:val="28"/>
        </w:rPr>
        <w:t>二．調解服務項目：</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 民事事件：債權債務之清償、房地產買賣、租賃、無權占有、扶養、繼承、公害賠償、商事買賣、消費者債務清理及其他有關民事事件。</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 刑事事件：妨害婚姻家庭、妨害自由名譽、妨害信用及祕密、傷害、毀損、親屬間財產犯罪、交通事故及其他告訴乃論之刑事案件。</w:t>
      </w:r>
    </w:p>
    <w:p w:rsidR="003932D2" w:rsidRPr="00940ACA" w:rsidRDefault="003932D2" w:rsidP="00940ACA">
      <w:pPr>
        <w:widowControl/>
        <w:shd w:val="clear" w:color="auto" w:fill="FFFFFF"/>
        <w:adjustRightInd w:val="0"/>
        <w:snapToGrid w:val="0"/>
        <w:rPr>
          <w:rFonts w:ascii="微軟正黑體" w:eastAsia="微軟正黑體" w:hAnsi="微軟正黑體" w:cs="新細明體"/>
          <w:b/>
          <w:color w:val="6C9F1F"/>
          <w:kern w:val="0"/>
          <w:sz w:val="28"/>
          <w:szCs w:val="28"/>
        </w:rPr>
      </w:pPr>
      <w:r w:rsidRPr="00940ACA">
        <w:rPr>
          <w:rFonts w:ascii="微軟正黑體" w:eastAsia="微軟正黑體" w:hAnsi="微軟正黑體" w:cs="新細明體" w:hint="eastAsia"/>
          <w:b/>
          <w:color w:val="6C9F1F"/>
          <w:kern w:val="0"/>
          <w:sz w:val="28"/>
          <w:szCs w:val="28"/>
        </w:rPr>
        <w:t>三．調解的效力及好處：</w:t>
      </w: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(一)效力：</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 調解經地方法院核定後，當事人就該事件不得再行起訴、告訴或自訴。</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 經法院核定之民事調解，與民事確定判決有同一效力。</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 經法院核定之刑事調解，以給付金錢或其他代替物或有價證券之一定數量為標的者，其調解書得為執行名義。</w:t>
      </w: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(二)好處：</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 調解除勘驗費應由當事人核實開支外，不徵收任何費用，或報酬。</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 調解之流程迅速簡單，可節省當事人因訴訟浪費時間。</w:t>
      </w:r>
    </w:p>
    <w:p w:rsidR="003932D2" w:rsidRPr="00940ACA" w:rsidRDefault="003932D2" w:rsidP="00940ACA">
      <w:pPr>
        <w:widowControl/>
        <w:shd w:val="clear" w:color="auto" w:fill="FFFFFF"/>
        <w:adjustRightInd w:val="0"/>
        <w:snapToGrid w:val="0"/>
        <w:rPr>
          <w:rFonts w:ascii="微軟正黑體" w:eastAsia="微軟正黑體" w:hAnsi="微軟正黑體" w:cs="新細明體"/>
          <w:b/>
          <w:color w:val="6C9F1F"/>
          <w:kern w:val="0"/>
          <w:sz w:val="28"/>
          <w:szCs w:val="28"/>
        </w:rPr>
      </w:pPr>
      <w:r w:rsidRPr="00940ACA">
        <w:rPr>
          <w:rFonts w:ascii="微軟正黑體" w:eastAsia="微軟正黑體" w:hAnsi="微軟正黑體" w:cs="新細明體" w:hint="eastAsia"/>
          <w:b/>
          <w:color w:val="6C9F1F"/>
          <w:kern w:val="0"/>
          <w:sz w:val="28"/>
          <w:szCs w:val="28"/>
        </w:rPr>
        <w:t>四．辦理調解案件流程</w:t>
      </w: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(一)提出聲請</w:t>
      </w:r>
    </w:p>
    <w:p w:rsidR="00982ABE" w:rsidRDefault="00982ABE" w:rsidP="00940ACA">
      <w:pPr>
        <w:widowControl/>
        <w:shd w:val="clear" w:color="auto" w:fill="F8F8F8"/>
        <w:adjustRightInd w:val="0"/>
        <w:snapToGrid w:val="0"/>
        <w:ind w:left="426"/>
        <w:rPr>
          <w:rFonts w:ascii="微軟正黑體" w:eastAsia="微軟正黑體" w:hAnsi="微軟正黑體" w:cs="新細明體"/>
          <w:color w:val="000000"/>
          <w:kern w:val="0"/>
          <w:sz w:val="28"/>
          <w:szCs w:val="28"/>
        </w:rPr>
      </w:pPr>
      <w:r>
        <w:rPr>
          <w:rFonts w:ascii="微軟正黑體" w:eastAsia="微軟正黑體" w:hAnsi="微軟正黑體" w:cs="新細明體" w:hint="eastAsia"/>
          <w:color w:val="000000"/>
          <w:kern w:val="0"/>
          <w:sz w:val="28"/>
          <w:szCs w:val="28"/>
        </w:rPr>
        <w:t>聲請調解：</w:t>
      </w:r>
    </w:p>
    <w:p w:rsidR="003932D2" w:rsidRDefault="00982ABE" w:rsidP="00982ABE">
      <w:pPr>
        <w:widowControl/>
        <w:shd w:val="clear" w:color="auto" w:fill="F8F8F8"/>
        <w:adjustRightInd w:val="0"/>
        <w:snapToGrid w:val="0"/>
        <w:ind w:left="425" w:firstLineChars="10" w:firstLine="28"/>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w:t>
      </w:r>
      <w:r>
        <w:rPr>
          <w:rFonts w:ascii="微軟正黑體" w:eastAsia="微軟正黑體" w:hAnsi="微軟正黑體" w:cs="新細明體" w:hint="eastAsia"/>
          <w:color w:val="000000"/>
          <w:kern w:val="0"/>
          <w:sz w:val="28"/>
          <w:szCs w:val="28"/>
        </w:rPr>
        <w:t xml:space="preserve"> </w:t>
      </w:r>
      <w:r w:rsidR="003932D2" w:rsidRPr="00940ACA">
        <w:rPr>
          <w:rFonts w:ascii="微軟正黑體" w:eastAsia="微軟正黑體" w:hAnsi="微軟正黑體" w:cs="新細明體" w:hint="eastAsia"/>
          <w:color w:val="000000"/>
          <w:kern w:val="0"/>
          <w:sz w:val="28"/>
          <w:szCs w:val="28"/>
        </w:rPr>
        <w:t>由當事人向</w:t>
      </w:r>
      <w:r>
        <w:rPr>
          <w:rFonts w:ascii="微軟正黑體" w:eastAsia="微軟正黑體" w:hAnsi="微軟正黑體" w:cs="新細明體" w:hint="eastAsia"/>
          <w:color w:val="000000"/>
          <w:kern w:val="0"/>
          <w:sz w:val="28"/>
          <w:szCs w:val="28"/>
        </w:rPr>
        <w:t>本</w:t>
      </w:r>
      <w:r w:rsidR="003932D2" w:rsidRPr="00940ACA">
        <w:rPr>
          <w:rFonts w:ascii="微軟正黑體" w:eastAsia="微軟正黑體" w:hAnsi="微軟正黑體" w:cs="新細明體" w:hint="eastAsia"/>
          <w:color w:val="000000"/>
          <w:kern w:val="0"/>
          <w:sz w:val="28"/>
          <w:szCs w:val="28"/>
        </w:rPr>
        <w:t>公所（調解委員會）以書面或言詞為之；言詞聲請者，應製作筆錄，書面聲請者，應按他造人數提出繕本。</w:t>
      </w:r>
    </w:p>
    <w:p w:rsidR="00982ABE" w:rsidRDefault="00982ABE" w:rsidP="00940ACA">
      <w:pPr>
        <w:widowControl/>
        <w:shd w:val="clear" w:color="auto" w:fill="F8F8F8"/>
        <w:adjustRightInd w:val="0"/>
        <w:snapToGrid w:val="0"/>
        <w:ind w:left="426"/>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w:t>
      </w:r>
      <w:r>
        <w:rPr>
          <w:rFonts w:ascii="微軟正黑體" w:eastAsia="微軟正黑體" w:hAnsi="微軟正黑體" w:cs="新細明體" w:hint="eastAsia"/>
          <w:color w:val="000000"/>
          <w:kern w:val="0"/>
          <w:sz w:val="28"/>
          <w:szCs w:val="28"/>
        </w:rPr>
        <w:t xml:space="preserve"> 線上聲請</w:t>
      </w:r>
      <w:bookmarkStart w:id="0" w:name="_GoBack"/>
      <w:bookmarkEnd w:id="0"/>
    </w:p>
    <w:p w:rsidR="00982ABE" w:rsidRPr="00982ABE" w:rsidRDefault="00982ABE" w:rsidP="00940ACA">
      <w:pPr>
        <w:widowControl/>
        <w:shd w:val="clear" w:color="auto" w:fill="F8F8F8"/>
        <w:adjustRightInd w:val="0"/>
        <w:snapToGrid w:val="0"/>
        <w:ind w:left="426"/>
        <w:rPr>
          <w:rFonts w:ascii="微軟正黑體" w:eastAsia="微軟正黑體" w:hAnsi="微軟正黑體" w:cs="新細明體" w:hint="eastAsia"/>
          <w:color w:val="000000"/>
          <w:kern w:val="0"/>
          <w:sz w:val="28"/>
          <w:szCs w:val="28"/>
        </w:rPr>
      </w:pPr>
      <w:r w:rsidRPr="00940ACA">
        <w:rPr>
          <w:rFonts w:ascii="微軟正黑體" w:eastAsia="微軟正黑體" w:hAnsi="微軟正黑體" w:cs="新細明體" w:hint="eastAsia"/>
          <w:color w:val="000000"/>
          <w:kern w:val="0"/>
          <w:sz w:val="28"/>
          <w:szCs w:val="28"/>
        </w:rPr>
        <w:t>◆</w:t>
      </w:r>
      <w:r>
        <w:rPr>
          <w:rFonts w:ascii="微軟正黑體" w:eastAsia="微軟正黑體" w:hAnsi="微軟正黑體" w:cs="新細明體" w:hint="eastAsia"/>
          <w:color w:val="000000"/>
          <w:kern w:val="0"/>
          <w:sz w:val="28"/>
          <w:szCs w:val="28"/>
        </w:rPr>
        <w:t xml:space="preserve"> </w:t>
      </w: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(二)受理</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依據「鄉鎮市調解條例及相關法令」規定審查調解聲請書內容是否符合規定並予辦理。</w:t>
      </w: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(三)書面通知雙方當事人</w:t>
      </w:r>
    </w:p>
    <w:p w:rsidR="003932D2"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lastRenderedPageBreak/>
        <w:t>調解委員會接受聲請後，七日內決定調解期日，通知雙方當事人到場，並將聲請書狀或言詞聲請筆錄之繕本一併送達於他造。</w:t>
      </w:r>
    </w:p>
    <w:p w:rsidR="00940ACA" w:rsidRPr="00940ACA" w:rsidRDefault="00940ACA"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(四)調解</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1、調解程序－由調解委員於當地鄉、鎮、市、區公所或其他適當之處所行之，調解程序、不公開之。但當事人另有約定者，不在此限。</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2、調解結果可分為調解成立與調解不成立二種。</w:t>
      </w: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(五)繼續調解</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1、當事人於調解期日無正當理由不到場者，原則上視為調解不成立。</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2、雙方當事人經過調解程序，因無法達成協議而調解不成立。</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3、如果當事人有正當理由或調解委員會認為有成立調解之望者，得再另訂調解期日繼續調解。</w:t>
      </w: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(六)移送偵查</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告訴乃論之刑事案件經調解不成立者，鄉、鎮、市、區公所依被害人</w:t>
      </w:r>
      <w:r w:rsidR="00E34D36" w:rsidRPr="00940ACA">
        <w:rPr>
          <w:rFonts w:ascii="微軟正黑體" w:eastAsia="微軟正黑體" w:hAnsi="微軟正黑體" w:cs="新細明體" w:hint="eastAsia"/>
          <w:color w:val="000000"/>
          <w:kern w:val="0"/>
          <w:sz w:val="28"/>
          <w:szCs w:val="28"/>
        </w:rPr>
        <w:t>(聲請人)</w:t>
      </w:r>
      <w:r w:rsidRPr="00940ACA">
        <w:rPr>
          <w:rFonts w:ascii="微軟正黑體" w:eastAsia="微軟正黑體" w:hAnsi="微軟正黑體" w:cs="新細明體" w:hint="eastAsia"/>
          <w:color w:val="000000"/>
          <w:kern w:val="0"/>
          <w:sz w:val="28"/>
          <w:szCs w:val="28"/>
        </w:rPr>
        <w:t>向調解委員會提出之聲請，將調解事件移請該管檢察官偵查，並視為聲請調解時已經告訴。</w:t>
      </w: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(七)不成立證明書</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調解不成立者當事人得聲請調解委員會給與調解不成立之證明書。</w:t>
      </w: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(八)轉報</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1、調解成立時，調解委員會應作成調解筆錄即調解書，當事人於認可各項記載與事實無誤後應簽名蓋章於其上。</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2、依規定調解委員會應於調解成立之日起三日內報知鄉、鎮、市、區公所。</w:t>
      </w: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(九)審核</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鄉、鎮、市、區公所對於所有調解成立事件，均應於調解成立之日起十日內，不待當事人請求，一律依權責將調解書送請管轄法院審核。</w:t>
      </w: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(十)調解案件一經法院核定成立，調解案件始視為調解成立。</w:t>
      </w:r>
    </w:p>
    <w:p w:rsidR="003932D2" w:rsidRPr="00940ACA" w:rsidRDefault="003932D2" w:rsidP="00940ACA">
      <w:pPr>
        <w:widowControl/>
        <w:shd w:val="clear" w:color="auto" w:fill="FFFFFF"/>
        <w:adjustRightInd w:val="0"/>
        <w:snapToGrid w:val="0"/>
        <w:rPr>
          <w:rFonts w:ascii="微軟正黑體" w:eastAsia="微軟正黑體" w:hAnsi="微軟正黑體" w:cs="新細明體"/>
          <w:b/>
          <w:color w:val="6C9F1F"/>
          <w:kern w:val="0"/>
          <w:sz w:val="28"/>
          <w:szCs w:val="28"/>
        </w:rPr>
      </w:pPr>
      <w:r w:rsidRPr="00940ACA">
        <w:rPr>
          <w:rFonts w:ascii="微軟正黑體" w:eastAsia="微軟正黑體" w:hAnsi="微軟正黑體" w:cs="新細明體" w:hint="eastAsia"/>
          <w:b/>
          <w:color w:val="6C9F1F"/>
          <w:kern w:val="0"/>
          <w:sz w:val="28"/>
          <w:szCs w:val="28"/>
        </w:rPr>
        <w:t>五．調解聲請須知</w:t>
      </w: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(一) 鄉鎮市調解委員會得受理之調解事項，限於民事事件或告訴乃論之刑事事件，且雙方當事人須有爭議存在始得聲請調解。</w:t>
      </w: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lastRenderedPageBreak/>
        <w:t>(二) 特殊爭議事件，如勞資爭議、環保糾紛、醫療糾紛、消費糾紛、政府採購爭議、耕地租佃及共有土地之分割等案件，宜至相關法令所設置之專業調處單位聲請調解。</w:t>
      </w: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(三) 聲請調解，民事事件應得雙方當事人之同意；告訴乃論之刑事事件應得被害人之同意，始得進行調解。</w:t>
      </w: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(四) 聲請調解事件之管轄如下：</w:t>
      </w:r>
    </w:p>
    <w:p w:rsidR="003932D2" w:rsidRPr="00940ACA" w:rsidRDefault="003932D2" w:rsidP="00940ACA">
      <w:pPr>
        <w:widowControl/>
        <w:shd w:val="clear" w:color="auto" w:fill="F8F8F8"/>
        <w:adjustRightInd w:val="0"/>
        <w:snapToGrid w:val="0"/>
        <w:ind w:left="480" w:hanging="54"/>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1、兩造均在同一鄉、鎮、市居住者，由該鄉、鎮、市調解委員會調解。</w:t>
      </w:r>
    </w:p>
    <w:p w:rsidR="00940ACA" w:rsidRDefault="003932D2" w:rsidP="00940ACA">
      <w:pPr>
        <w:widowControl/>
        <w:shd w:val="clear" w:color="auto" w:fill="F8F8F8"/>
        <w:adjustRightInd w:val="0"/>
        <w:snapToGrid w:val="0"/>
        <w:ind w:left="851" w:hanging="425"/>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2、兩造不在同一鄉、鎮、市居住者，民事事件由他造住、居所、營業所、事務所所在地，刑事事件由他造住、居所所在地或犯罪地之鄉、鎮、市調解委員會調解。</w:t>
      </w:r>
    </w:p>
    <w:p w:rsidR="003932D2" w:rsidRPr="00940ACA" w:rsidRDefault="003932D2" w:rsidP="00940ACA">
      <w:pPr>
        <w:widowControl/>
        <w:shd w:val="clear" w:color="auto" w:fill="F8F8F8"/>
        <w:adjustRightInd w:val="0"/>
        <w:snapToGrid w:val="0"/>
        <w:ind w:left="851" w:hanging="425"/>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3、經兩造同意，並經接受聲請之鄉、鎮、市調解委員會同意者，得由該鄉、鎮、市調解委員會調解，不受前二款之限制。</w:t>
      </w:r>
    </w:p>
    <w:p w:rsidR="003932D2" w:rsidRPr="00940ACA" w:rsidRDefault="003932D2" w:rsidP="00940ACA">
      <w:pPr>
        <w:widowControl/>
        <w:shd w:val="clear" w:color="auto" w:fill="F8F8F8"/>
        <w:adjustRightInd w:val="0"/>
        <w:snapToGrid w:val="0"/>
        <w:ind w:left="480" w:hanging="480"/>
        <w:rPr>
          <w:rFonts w:ascii="微軟正黑體" w:eastAsia="微軟正黑體" w:hAnsi="微軟正黑體" w:cs="新細明體"/>
          <w:color w:val="000000"/>
          <w:kern w:val="0"/>
          <w:sz w:val="28"/>
          <w:szCs w:val="28"/>
        </w:rPr>
      </w:pPr>
      <w:r w:rsidRPr="00940ACA">
        <w:rPr>
          <w:rFonts w:ascii="微軟正黑體" w:eastAsia="微軟正黑體" w:hAnsi="微軟正黑體" w:cs="新細明體" w:hint="eastAsia"/>
          <w:color w:val="000000"/>
          <w:kern w:val="0"/>
          <w:sz w:val="28"/>
          <w:szCs w:val="28"/>
        </w:rPr>
        <w:t>(五) 聲請調解事件之內容倘涉及公同共有人間之權利義務時，如合夥人之權義關係、繼承人之權義關係、公同共有物之處分等，應得全部公同共有人之同意，始得進行調解。</w:t>
      </w:r>
    </w:p>
    <w:p w:rsidR="00C33765" w:rsidRPr="00940ACA" w:rsidRDefault="00C33765" w:rsidP="00940ACA">
      <w:pPr>
        <w:adjustRightInd w:val="0"/>
        <w:snapToGrid w:val="0"/>
        <w:rPr>
          <w:sz w:val="28"/>
          <w:szCs w:val="28"/>
        </w:rPr>
      </w:pPr>
    </w:p>
    <w:p w:rsidR="0088359F" w:rsidRPr="00940ACA" w:rsidRDefault="0088359F" w:rsidP="00940ACA">
      <w:pPr>
        <w:adjustRightInd w:val="0"/>
        <w:snapToGrid w:val="0"/>
        <w:rPr>
          <w:sz w:val="28"/>
          <w:szCs w:val="28"/>
        </w:rPr>
      </w:pPr>
    </w:p>
    <w:sectPr w:rsidR="0088359F" w:rsidRPr="00940ACA" w:rsidSect="0005628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3B4" w:rsidRDefault="00C743B4" w:rsidP="00E34D36">
      <w:r>
        <w:separator/>
      </w:r>
    </w:p>
  </w:endnote>
  <w:endnote w:type="continuationSeparator" w:id="0">
    <w:p w:rsidR="00C743B4" w:rsidRDefault="00C743B4" w:rsidP="00E3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3B4" w:rsidRDefault="00C743B4" w:rsidP="00E34D36">
      <w:r>
        <w:separator/>
      </w:r>
    </w:p>
  </w:footnote>
  <w:footnote w:type="continuationSeparator" w:id="0">
    <w:p w:rsidR="00C743B4" w:rsidRDefault="00C743B4" w:rsidP="00E34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D2"/>
    <w:rsid w:val="0005628C"/>
    <w:rsid w:val="003932D2"/>
    <w:rsid w:val="00445A8C"/>
    <w:rsid w:val="00721CB6"/>
    <w:rsid w:val="00827869"/>
    <w:rsid w:val="0088359F"/>
    <w:rsid w:val="00940ACA"/>
    <w:rsid w:val="00982ABE"/>
    <w:rsid w:val="00C33765"/>
    <w:rsid w:val="00C743B4"/>
    <w:rsid w:val="00E217AB"/>
    <w:rsid w:val="00E34D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7ECE77-F7F2-4276-A49A-8DA1E46E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3932D2"/>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rsid w:val="003932D2"/>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3932D2"/>
    <w:rPr>
      <w:rFonts w:ascii="新細明體" w:eastAsia="新細明體" w:hAnsi="新細明體" w:cs="新細明體"/>
      <w:b/>
      <w:bCs/>
      <w:kern w:val="0"/>
      <w:sz w:val="27"/>
      <w:szCs w:val="27"/>
    </w:rPr>
  </w:style>
  <w:style w:type="character" w:customStyle="1" w:styleId="40">
    <w:name w:val="標題 4 字元"/>
    <w:basedOn w:val="a0"/>
    <w:link w:val="4"/>
    <w:uiPriority w:val="9"/>
    <w:rsid w:val="003932D2"/>
    <w:rPr>
      <w:rFonts w:ascii="新細明體" w:eastAsia="新細明體" w:hAnsi="新細明體" w:cs="新細明體"/>
      <w:b/>
      <w:bCs/>
      <w:kern w:val="0"/>
      <w:szCs w:val="24"/>
    </w:rPr>
  </w:style>
  <w:style w:type="paragraph" w:styleId="Web">
    <w:name w:val="Normal (Web)"/>
    <w:basedOn w:val="a"/>
    <w:uiPriority w:val="99"/>
    <w:semiHidden/>
    <w:unhideWhenUsed/>
    <w:rsid w:val="003932D2"/>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88359F"/>
    <w:rPr>
      <w:color w:val="0000FF"/>
      <w:u w:val="single"/>
    </w:rPr>
  </w:style>
  <w:style w:type="character" w:customStyle="1" w:styleId="grame">
    <w:name w:val="grame"/>
    <w:basedOn w:val="a0"/>
    <w:rsid w:val="0088359F"/>
  </w:style>
  <w:style w:type="paragraph" w:styleId="a4">
    <w:name w:val="header"/>
    <w:basedOn w:val="a"/>
    <w:link w:val="a5"/>
    <w:uiPriority w:val="99"/>
    <w:unhideWhenUsed/>
    <w:rsid w:val="00E34D36"/>
    <w:pPr>
      <w:tabs>
        <w:tab w:val="center" w:pos="4153"/>
        <w:tab w:val="right" w:pos="8306"/>
      </w:tabs>
      <w:snapToGrid w:val="0"/>
    </w:pPr>
    <w:rPr>
      <w:sz w:val="20"/>
      <w:szCs w:val="20"/>
    </w:rPr>
  </w:style>
  <w:style w:type="character" w:customStyle="1" w:styleId="a5">
    <w:name w:val="頁首 字元"/>
    <w:basedOn w:val="a0"/>
    <w:link w:val="a4"/>
    <w:uiPriority w:val="99"/>
    <w:rsid w:val="00E34D36"/>
    <w:rPr>
      <w:sz w:val="20"/>
      <w:szCs w:val="20"/>
    </w:rPr>
  </w:style>
  <w:style w:type="paragraph" w:styleId="a6">
    <w:name w:val="footer"/>
    <w:basedOn w:val="a"/>
    <w:link w:val="a7"/>
    <w:uiPriority w:val="99"/>
    <w:unhideWhenUsed/>
    <w:rsid w:val="00E34D36"/>
    <w:pPr>
      <w:tabs>
        <w:tab w:val="center" w:pos="4153"/>
        <w:tab w:val="right" w:pos="8306"/>
      </w:tabs>
      <w:snapToGrid w:val="0"/>
    </w:pPr>
    <w:rPr>
      <w:sz w:val="20"/>
      <w:szCs w:val="20"/>
    </w:rPr>
  </w:style>
  <w:style w:type="character" w:customStyle="1" w:styleId="a7">
    <w:name w:val="頁尾 字元"/>
    <w:basedOn w:val="a0"/>
    <w:link w:val="a6"/>
    <w:uiPriority w:val="99"/>
    <w:rsid w:val="00E34D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70053">
      <w:bodyDiv w:val="1"/>
      <w:marLeft w:val="0"/>
      <w:marRight w:val="0"/>
      <w:marTop w:val="0"/>
      <w:marBottom w:val="0"/>
      <w:divBdr>
        <w:top w:val="none" w:sz="0" w:space="0" w:color="auto"/>
        <w:left w:val="none" w:sz="0" w:space="0" w:color="auto"/>
        <w:bottom w:val="none" w:sz="0" w:space="0" w:color="auto"/>
        <w:right w:val="none" w:sz="0" w:space="0" w:color="auto"/>
      </w:divBdr>
      <w:divsChild>
        <w:div w:id="450175706">
          <w:marLeft w:val="0"/>
          <w:marRight w:val="0"/>
          <w:marTop w:val="0"/>
          <w:marBottom w:val="0"/>
          <w:divBdr>
            <w:top w:val="none" w:sz="0" w:space="0" w:color="auto"/>
            <w:left w:val="none" w:sz="0" w:space="0" w:color="auto"/>
            <w:bottom w:val="none" w:sz="0" w:space="0" w:color="auto"/>
            <w:right w:val="none" w:sz="0" w:space="0" w:color="auto"/>
          </w:divBdr>
          <w:divsChild>
            <w:div w:id="1398211913">
              <w:marLeft w:val="0"/>
              <w:marRight w:val="0"/>
              <w:marTop w:val="375"/>
              <w:marBottom w:val="375"/>
              <w:divBdr>
                <w:top w:val="single" w:sz="6" w:space="19" w:color="D9D9D9"/>
                <w:left w:val="none" w:sz="0" w:space="0" w:color="auto"/>
                <w:bottom w:val="none" w:sz="0" w:space="0" w:color="auto"/>
                <w:right w:val="none" w:sz="0" w:space="0" w:color="auto"/>
              </w:divBdr>
            </w:div>
            <w:div w:id="938803918">
              <w:marLeft w:val="0"/>
              <w:marRight w:val="0"/>
              <w:marTop w:val="375"/>
              <w:marBottom w:val="375"/>
              <w:divBdr>
                <w:top w:val="single" w:sz="6" w:space="19" w:color="D9D9D9"/>
                <w:left w:val="none" w:sz="0" w:space="0" w:color="auto"/>
                <w:bottom w:val="none" w:sz="0" w:space="0" w:color="auto"/>
                <w:right w:val="none" w:sz="0" w:space="0" w:color="auto"/>
              </w:divBdr>
            </w:div>
            <w:div w:id="435292770">
              <w:marLeft w:val="0"/>
              <w:marRight w:val="0"/>
              <w:marTop w:val="375"/>
              <w:marBottom w:val="375"/>
              <w:divBdr>
                <w:top w:val="single" w:sz="6" w:space="19" w:color="D9D9D9"/>
                <w:left w:val="none" w:sz="0" w:space="0" w:color="auto"/>
                <w:bottom w:val="none" w:sz="0" w:space="0" w:color="auto"/>
                <w:right w:val="none" w:sz="0" w:space="0" w:color="auto"/>
              </w:divBdr>
            </w:div>
            <w:div w:id="1864127539">
              <w:marLeft w:val="0"/>
              <w:marRight w:val="0"/>
              <w:marTop w:val="375"/>
              <w:marBottom w:val="375"/>
              <w:divBdr>
                <w:top w:val="single" w:sz="6" w:space="19" w:color="D9D9D9"/>
                <w:left w:val="none" w:sz="0" w:space="0" w:color="auto"/>
                <w:bottom w:val="none" w:sz="0" w:space="0" w:color="auto"/>
                <w:right w:val="none" w:sz="0" w:space="0" w:color="auto"/>
              </w:divBdr>
            </w:div>
            <w:div w:id="1213082194">
              <w:marLeft w:val="0"/>
              <w:marRight w:val="0"/>
              <w:marTop w:val="375"/>
              <w:marBottom w:val="375"/>
              <w:divBdr>
                <w:top w:val="single" w:sz="6" w:space="19" w:color="D9D9D9"/>
                <w:left w:val="none" w:sz="0" w:space="0" w:color="auto"/>
                <w:bottom w:val="none" w:sz="0" w:space="0" w:color="auto"/>
                <w:right w:val="none" w:sz="0" w:space="0" w:color="auto"/>
              </w:divBdr>
            </w:div>
          </w:divsChild>
        </w:div>
      </w:divsChild>
    </w:div>
    <w:div w:id="69075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237</Words>
  <Characters>1356</Characters>
  <Application>Microsoft Office Word</Application>
  <DocSecurity>0</DocSecurity>
  <Lines>11</Lines>
  <Paragraphs>3</Paragraphs>
  <ScaleCrop>false</ScaleCrop>
  <Company>TCCG</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洪志朋</dc:creator>
  <cp:keywords/>
  <dc:description/>
  <cp:lastModifiedBy>洪志朋</cp:lastModifiedBy>
  <cp:revision>4</cp:revision>
  <dcterms:created xsi:type="dcterms:W3CDTF">2017-07-11T05:26:00Z</dcterms:created>
  <dcterms:modified xsi:type="dcterms:W3CDTF">2019-10-23T05:10:00Z</dcterms:modified>
</cp:coreProperties>
</file>